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color w:val="000000"/>
          <w:sz w:val="30"/>
        </w:rPr>
        <w:t>ПУБЛИЧНАЯ ОФЕРТА</w:t>
        <w:br/>
        <w:t>на заключение договора об оказании платных образовательных услуг</w:t>
      </w:r>
    </w:p>
    <w:p>
      <w:r>
        <w:t>Редакция от 25 сентября 2026 года.</w:t>
      </w:r>
    </w:p>
    <w:p>
      <w:r>
        <w:t>Общество с ограниченной ответственностью «ФИНСКУЛ», ОГРН 1267700319765, ИНН 9731167869, КПП 773101001, адрес: 121596, г. Москва, вн. тер. г. муниципальный округ Можайский, ул. Горбунова, д. 11, к. 1, кв. 55, именуемое в дальнейшем «Исполнитель», предлагает дееспособному физическому лицу, являющемуся законным представителем несовершеннолетнего обучающегося, заключить договор об оказании платных образовательных услуг на условиях настоящей публичной оферты.</w:t>
      </w:r>
    </w:p>
    <w:p>
      <w:pPr>
        <w:pStyle w:val="Heading1"/>
      </w:pPr>
      <w:r>
        <w:t>1. Общие положения</w:t>
      </w:r>
    </w:p>
    <w:p>
      <w:r>
        <w:t>1.1. Настоящая Оферта определяет условия оказания платных образовательных услуг по дополнительной общеобразовательной общеразвивающей программе «Первый Капитал».</w:t>
      </w:r>
    </w:p>
    <w:p>
      <w:r>
        <w:t>1.2. Заказчиком является дееспособное физическое лицо — законный представитель несовершеннолетнего Обучающегося, совершивший акцепт настоящей Оферты.</w:t>
      </w:r>
    </w:p>
    <w:p>
      <w:r>
        <w:t>1.3. Обучающимся является ребенок в возрасте от 7 до 12 лет, сведения о котором указаны Заказчиком при оформлении обучения.</w:t>
      </w:r>
    </w:p>
    <w:p>
      <w:r>
        <w:t>1.4. Акцептом настоящей Оферты является оплата Заказчиком выбранного тарифа после ознакомления с условиями Оферты, образовательной программой и информацией, размещенной на сайте Исполнителя.</w:t>
      </w:r>
    </w:p>
    <w:p>
      <w:r>
        <w:t>1.5. С момента акцепта между Исполнителем и Заказчиком считается заключенным договор об оказании платных образовательных услуг.</w:t>
      </w:r>
    </w:p>
    <w:p>
      <w:r>
        <w:t>1.6. Информация об образовательной программе, условиях обучения и стоимости на дату акцепта должна соответствовать сведениям, размещенным на сайте Исполнителя.</w:t>
      </w:r>
    </w:p>
    <w:p>
      <w:pPr>
        <w:pStyle w:val="Heading1"/>
      </w:pPr>
      <w:r>
        <w:t>2. Предмет договора и характеристики образовательных услуг</w:t>
      </w:r>
    </w:p>
    <w:p>
      <w:r>
        <w:t>2.1. Исполнитель обязуется организовать обучение Обучающегося по дополнительной общеобразовательной общеразвивающей программе «Первый Капитал», а Заказчик обязуется оплачивать образовательные услуги на условиях выбранного тарифа.</w:t>
      </w:r>
    </w:p>
    <w:p>
      <w:r>
        <w:t>2.2. Направленность программы — социально-гуманитарная. Возраст обучающихся — 7–12 лет.</w:t>
      </w:r>
    </w:p>
    <w:p>
      <w:r>
        <w:t>2.3. Обучение осуществляется исключительно с применением электронного обучения и дистанционных образовательных технологий.</w:t>
      </w:r>
    </w:p>
    <w:p>
      <w:r>
        <w:t>2.4. Синхронные занятия проводятся с педагогом в режиме видеоконференцсвязи. Электронные учебные материалы и самостоятельная практика предоставляются на платформе ФинСкул.</w:t>
      </w:r>
    </w:p>
    <w:p>
      <w:r>
        <w:t>2.5. Продолжительность одного занятия составляет 40 минут. Наполняемость учебной группы — до 10 обучающихся.</w:t>
      </w:r>
    </w:p>
    <w:p>
      <w:r>
        <w:t>2.6. Количество занятий и период обучения определяются выбранным тарифом и сформированным Исполнителем расписанием.</w:t>
      </w:r>
    </w:p>
    <w:p>
      <w:pPr>
        <w:pStyle w:val="Heading1"/>
      </w:pPr>
      <w:r>
        <w:t>3. Порядок оказания образовательных услуг</w:t>
      </w:r>
    </w:p>
    <w:p>
      <w:r>
        <w:t>3.1. После оплаты выбранного тарифа Исполнитель включает Обучающегося в учебную группу, формирует расписание и предоставляет доступ к платформе ФинСкул.</w:t>
      </w:r>
    </w:p>
    <w:p>
      <w:r>
        <w:t>3.2. Дата начала обучения, дни и время занятий доводятся до Заказчика через контактные данные, указанные при оформлении обучения, и (или) отображаются в электронной среде Исполнителя.</w:t>
      </w:r>
    </w:p>
    <w:p>
      <w:r>
        <w:t>3.3. Доступ к учебным материалам открывается последовательно в соответствии с образовательной программой и расписанием группы.</w:t>
      </w:r>
    </w:p>
    <w:p>
      <w:r>
        <w:t>3.4. Заказчик обеспечивает техническую возможность участия Обучающегося в занятиях: доступ в Интернет, устройство с камерой и микрофоном и возможность входа в учетную запись на платформе.</w:t>
      </w:r>
    </w:p>
    <w:p>
      <w:r>
        <w:t>3.5. Если занятие состоялось по утвержденному расписанию, но Обучающийся не подключился к нему по причинам, не зависящим от Исполнителя, занятие учитывается в составе приобретенного тарифа и не переносится автоматически.</w:t>
      </w:r>
    </w:p>
    <w:p>
      <w:r>
        <w:t>3.6. По теме пропущенного занятия Обучающемуся открывается доступ к соответствующему уроку и учебным материалам на платформе ФинСкул. Для целей учета объема приобретенного тарифа такой урок учитывается как пройденный, поскольку Обучающемуся предоставлен доступ к содержанию соответствующей темы для самостоятельного освоения.</w:t>
      </w:r>
    </w:p>
    <w:p>
      <w:r>
        <w:t>3.7. Пропуск занятия Обучающимся не является основанием для автоматического продления срока тарифа или предоставления дополнительного живого занятия, если иное отдельно не согласовано Исполнителем.</w:t>
      </w:r>
    </w:p>
    <w:p>
      <w:r>
        <w:t>3.8. Если занятие не состоялось по вине Исполнителя, оно переносится на другую дату либо Исполнитель иным способом обеспечивает сохранение оплаченного объема образовательных услуг.</w:t>
      </w:r>
    </w:p>
    <w:p>
      <w:r>
        <w:t>3.9. Исполнитель вправе переносить отдельное занятие по организационным или техническим причинам при условии уведомления Заказчика и сохранения оплаченного объема образовательных услуг.</w:t>
      </w:r>
    </w:p>
    <w:p>
      <w:r>
        <w:t>3.10. При техническом сбое на стороне Исполнителя, исключающем проведение занятия, занятие переносится или восполняется иным способом. Технические проблемы на стороне Заказчика или Обучающегося не считаются непроведением занятия со стороны Исполнителя, если занятие состоялось для группы.</w:t>
      </w:r>
    </w:p>
    <w:p>
      <w:pPr>
        <w:pStyle w:val="Heading1"/>
      </w:pPr>
      <w:r>
        <w:t>4. Стоимость услуг и порядок оплаты</w:t>
      </w:r>
    </w:p>
    <w:tbl>
      <w:tblPr>
        <w:tblStyle w:val="TableGrid"/>
        <w:tblW w:type="auto" w:w="0"/>
        <w:jc w:val="center"/>
        <w:tblLook w:firstColumn="1" w:firstRow="1" w:lastColumn="0" w:lastRow="0" w:noHBand="0" w:noVBand="1" w:val="04A0"/>
      </w:tblPr>
      <w:tblGrid>
        <w:gridCol w:w="2521"/>
        <w:gridCol w:w="2521"/>
        <w:gridCol w:w="2521"/>
        <w:gridCol w:w="2521"/>
      </w:tblGrid>
      <w:tr>
        <w:tc>
          <w:tcPr>
            <w:tcW w:type="dxa" w:w="2521"/>
            <w:vAlign w:val="center"/>
          </w:tcPr>
          <w:p>
            <w:pPr>
              <w:spacing w:after="0"/>
            </w:pPr>
            <w:r/>
            <w:r>
              <w:rPr>
                <w:rFonts w:ascii="Times New Roman" w:hAnsi="Times New Roman"/>
                <w:b/>
                <w:color w:val="000000"/>
                <w:sz w:val="19"/>
              </w:rPr>
              <w:t>Тариф</w:t>
            </w:r>
          </w:p>
        </w:tc>
        <w:tc>
          <w:tcPr>
            <w:tcW w:type="dxa" w:w="2521"/>
            <w:vAlign w:val="center"/>
          </w:tcPr>
          <w:p>
            <w:pPr>
              <w:spacing w:after="0"/>
            </w:pPr>
            <w:r/>
            <w:r>
              <w:rPr>
                <w:rFonts w:ascii="Times New Roman" w:hAnsi="Times New Roman"/>
                <w:b/>
                <w:color w:val="000000"/>
                <w:sz w:val="19"/>
              </w:rPr>
              <w:t>Количество занятий</w:t>
            </w:r>
          </w:p>
        </w:tc>
        <w:tc>
          <w:tcPr>
            <w:tcW w:type="dxa" w:w="2521"/>
            <w:vAlign w:val="center"/>
          </w:tcPr>
          <w:p>
            <w:pPr>
              <w:spacing w:after="0"/>
            </w:pPr>
            <w:r/>
            <w:r>
              <w:rPr>
                <w:rFonts w:ascii="Times New Roman" w:hAnsi="Times New Roman"/>
                <w:b/>
                <w:color w:val="000000"/>
                <w:sz w:val="19"/>
              </w:rPr>
              <w:t>Стоимость</w:t>
            </w:r>
          </w:p>
        </w:tc>
        <w:tc>
          <w:tcPr>
            <w:tcW w:type="dxa" w:w="2521"/>
            <w:vAlign w:val="center"/>
          </w:tcPr>
          <w:p>
            <w:pPr>
              <w:spacing w:after="0"/>
            </w:pPr>
            <w:r/>
            <w:r>
              <w:rPr>
                <w:rFonts w:ascii="Times New Roman" w:hAnsi="Times New Roman"/>
                <w:b/>
                <w:color w:val="000000"/>
                <w:sz w:val="19"/>
              </w:rPr>
              <w:t>Период обучения</w:t>
            </w:r>
          </w:p>
        </w:tc>
      </w:tr>
      <w:tr>
        <w:tc>
          <w:tcPr>
            <w:tcW w:type="dxa" w:w="2521"/>
            <w:vAlign w:val="center"/>
          </w:tcPr>
          <w:p>
            <w:pPr>
              <w:spacing w:after="0"/>
            </w:pPr>
            <w:r/>
            <w:r>
              <w:rPr>
                <w:rFonts w:ascii="Times New Roman" w:hAnsi="Times New Roman"/>
                <w:b w:val="0"/>
                <w:color w:val="000000"/>
                <w:sz w:val="18"/>
              </w:rPr>
              <w:t>Абонемент 4 занятия</w:t>
            </w:r>
          </w:p>
        </w:tc>
        <w:tc>
          <w:tcPr>
            <w:tcW w:type="dxa" w:w="2521"/>
            <w:vAlign w:val="center"/>
          </w:tcPr>
          <w:p>
            <w:pPr>
              <w:spacing w:after="0"/>
            </w:pPr>
            <w:r/>
            <w:r>
              <w:rPr>
                <w:rFonts w:ascii="Times New Roman" w:hAnsi="Times New Roman"/>
                <w:b w:val="0"/>
                <w:color w:val="000000"/>
                <w:sz w:val="18"/>
              </w:rPr>
              <w:t>4</w:t>
            </w:r>
          </w:p>
        </w:tc>
        <w:tc>
          <w:tcPr>
            <w:tcW w:type="dxa" w:w="2521"/>
            <w:vAlign w:val="center"/>
          </w:tcPr>
          <w:p>
            <w:pPr>
              <w:spacing w:after="0"/>
            </w:pPr>
            <w:r/>
            <w:r>
              <w:rPr>
                <w:rFonts w:ascii="Times New Roman" w:hAnsi="Times New Roman"/>
                <w:b w:val="0"/>
                <w:color w:val="000000"/>
                <w:sz w:val="18"/>
              </w:rPr>
              <w:t>6 000 руб.</w:t>
            </w:r>
          </w:p>
        </w:tc>
        <w:tc>
          <w:tcPr>
            <w:tcW w:type="dxa" w:w="2521"/>
            <w:vAlign w:val="center"/>
          </w:tcPr>
          <w:p>
            <w:pPr>
              <w:spacing w:after="0"/>
            </w:pPr>
            <w:r/>
            <w:r>
              <w:rPr>
                <w:rFonts w:ascii="Times New Roman" w:hAnsi="Times New Roman"/>
                <w:b w:val="0"/>
                <w:color w:val="000000"/>
                <w:sz w:val="18"/>
              </w:rPr>
              <w:t>4 последовательных занятия по расписанию группы</w:t>
            </w:r>
          </w:p>
        </w:tc>
      </w:tr>
      <w:tr>
        <w:tc>
          <w:tcPr>
            <w:tcW w:type="dxa" w:w="2521"/>
            <w:vAlign w:val="center"/>
          </w:tcPr>
          <w:p>
            <w:pPr>
              <w:spacing w:after="0"/>
            </w:pPr>
            <w:r/>
            <w:r>
              <w:rPr>
                <w:rFonts w:ascii="Times New Roman" w:hAnsi="Times New Roman"/>
                <w:b w:val="0"/>
                <w:color w:val="000000"/>
                <w:sz w:val="18"/>
              </w:rPr>
              <w:t>Полугодовой абонемент</w:t>
            </w:r>
          </w:p>
        </w:tc>
        <w:tc>
          <w:tcPr>
            <w:tcW w:type="dxa" w:w="2521"/>
            <w:vAlign w:val="center"/>
          </w:tcPr>
          <w:p>
            <w:pPr>
              <w:spacing w:after="0"/>
            </w:pPr>
            <w:r/>
            <w:r>
              <w:rPr>
                <w:rFonts w:ascii="Times New Roman" w:hAnsi="Times New Roman"/>
                <w:b w:val="0"/>
                <w:color w:val="000000"/>
                <w:sz w:val="18"/>
              </w:rPr>
              <w:t>26</w:t>
            </w:r>
          </w:p>
        </w:tc>
        <w:tc>
          <w:tcPr>
            <w:tcW w:type="dxa" w:w="2521"/>
            <w:vAlign w:val="center"/>
          </w:tcPr>
          <w:p>
            <w:pPr>
              <w:spacing w:after="0"/>
            </w:pPr>
            <w:r/>
            <w:r>
              <w:rPr>
                <w:rFonts w:ascii="Times New Roman" w:hAnsi="Times New Roman"/>
                <w:b w:val="0"/>
                <w:color w:val="000000"/>
                <w:sz w:val="18"/>
              </w:rPr>
              <w:t>35 000 руб.</w:t>
            </w:r>
          </w:p>
        </w:tc>
        <w:tc>
          <w:tcPr>
            <w:tcW w:type="dxa" w:w="2521"/>
            <w:vAlign w:val="center"/>
          </w:tcPr>
          <w:p>
            <w:pPr>
              <w:spacing w:after="0"/>
            </w:pPr>
            <w:r/>
            <w:r>
              <w:rPr>
                <w:rFonts w:ascii="Times New Roman" w:hAnsi="Times New Roman"/>
                <w:b w:val="0"/>
                <w:color w:val="000000"/>
                <w:sz w:val="18"/>
              </w:rPr>
              <w:t>26 последовательных занятий по расписанию группы</w:t>
            </w:r>
          </w:p>
        </w:tc>
      </w:tr>
      <w:tr>
        <w:tc>
          <w:tcPr>
            <w:tcW w:type="dxa" w:w="2521"/>
            <w:vAlign w:val="center"/>
          </w:tcPr>
          <w:p>
            <w:pPr>
              <w:spacing w:after="0"/>
            </w:pPr>
            <w:r/>
            <w:r>
              <w:rPr>
                <w:rFonts w:ascii="Times New Roman" w:hAnsi="Times New Roman"/>
                <w:b w:val="0"/>
                <w:color w:val="000000"/>
                <w:sz w:val="18"/>
              </w:rPr>
              <w:t>Годовой абонемент</w:t>
            </w:r>
          </w:p>
        </w:tc>
        <w:tc>
          <w:tcPr>
            <w:tcW w:type="dxa" w:w="2521"/>
            <w:vAlign w:val="center"/>
          </w:tcPr>
          <w:p>
            <w:pPr>
              <w:spacing w:after="0"/>
            </w:pPr>
            <w:r/>
            <w:r>
              <w:rPr>
                <w:rFonts w:ascii="Times New Roman" w:hAnsi="Times New Roman"/>
                <w:b w:val="0"/>
                <w:color w:val="000000"/>
                <w:sz w:val="18"/>
              </w:rPr>
              <w:t>52</w:t>
            </w:r>
          </w:p>
        </w:tc>
        <w:tc>
          <w:tcPr>
            <w:tcW w:type="dxa" w:w="2521"/>
            <w:vAlign w:val="center"/>
          </w:tcPr>
          <w:p>
            <w:pPr>
              <w:spacing w:after="0"/>
            </w:pPr>
            <w:r/>
            <w:r>
              <w:rPr>
                <w:rFonts w:ascii="Times New Roman" w:hAnsi="Times New Roman"/>
                <w:b w:val="0"/>
                <w:color w:val="000000"/>
                <w:sz w:val="18"/>
              </w:rPr>
              <w:t>59 900 руб.</w:t>
            </w:r>
          </w:p>
        </w:tc>
        <w:tc>
          <w:tcPr>
            <w:tcW w:type="dxa" w:w="2521"/>
            <w:vAlign w:val="center"/>
          </w:tcPr>
          <w:p>
            <w:pPr>
              <w:spacing w:after="0"/>
            </w:pPr>
            <w:r/>
            <w:r>
              <w:rPr>
                <w:rFonts w:ascii="Times New Roman" w:hAnsi="Times New Roman"/>
                <w:b w:val="0"/>
                <w:color w:val="000000"/>
                <w:sz w:val="18"/>
              </w:rPr>
              <w:t>52 последовательных занятия по расписанию группы</w:t>
            </w:r>
          </w:p>
        </w:tc>
      </w:tr>
    </w:tbl>
    <w:p>
      <w:r>
        <w:t>4.1. Полная стоимость образовательных услуг определяется выбранным Заказчиком тарифом.</w:t>
      </w:r>
    </w:p>
    <w:p>
      <w:r>
        <w:t>4.2. В целях определения состава и стоимости оказываемых услуг цена каждого тарифа состоит из двух самостоятельных стоимостных частей.</w:t>
      </w:r>
    </w:p>
    <w:p>
      <w:r>
        <w:t>4.2.1. 30% от стоимости выбранного тарифа составляет стоимость единовременно оказываемой услуги по предоставлению доступа к образовательной платформе ФинСкул. В данную часть входит активация доступа Обучающегося к платформе, создание или подключение учетной записи, предоставление предусмотренного тарифом электронного доступа к образовательной среде и открытие возможности использования учебных материалов платформы в рамках выбранного тарифа.</w:t>
      </w:r>
    </w:p>
    <w:p>
      <w:r>
        <w:t>4.2.2. Услуга, указанная в пункте 4.2.1, считается оказанной в полном объеме с момента фактической активации доступа Обучающегося к платформе и предоставления Заказчику или Обучающемуся возможности входа и использования соответствующего функционала.</w:t>
      </w:r>
    </w:p>
    <w:p>
      <w:r>
        <w:t>4.2.3. 70% от стоимости выбранного тарифа составляет стоимость синхронных занятий с педагогом, проводимых в соответствии с расписанием учебной группы.</w:t>
      </w:r>
    </w:p>
    <w:p>
      <w:r>
        <w:t>4.3. Оплата производится в размере 100% стоимости выбранного тарифа до предоставления доступа к обучению, если иной порядок оплаты прямо не предложен Исполнителем на сайте.</w:t>
      </w:r>
    </w:p>
    <w:p>
      <w:r>
        <w:t>4.4. Увеличение стоимости уже оплаченных образовательных услуг после заключения договора не допускается, за исключением случаев, предусмотренных законодательством Российской Федерации.</w:t>
      </w:r>
    </w:p>
    <w:p>
      <w:r>
        <w:t>4.5. Обязательство Заказчика по оплате считается исполненным с момента поступления денежных средств Исполнителю или уполномоченному платежному оператору.</w:t>
      </w:r>
    </w:p>
    <w:p>
      <w:pPr>
        <w:pStyle w:val="Heading1"/>
      </w:pPr>
      <w:r>
        <w:t>5. Права и обязанности Исполнителя</w:t>
      </w:r>
    </w:p>
    <w:p>
      <w:r>
        <w:t>5.1. Исполнитель обязан:</w:t>
      </w:r>
    </w:p>
    <w:p>
      <w:pPr>
        <w:pStyle w:val="ListBullet"/>
      </w:pPr>
      <w:r>
        <w:rPr>
          <w:rFonts w:ascii="Times New Roman" w:hAnsi="Times New Roman"/>
          <w:color w:val="000000"/>
          <w:sz w:val="22"/>
        </w:rPr>
        <w:t>организовать образовательный процесс в соответствии с утвержденной образовательной программой;</w:t>
      </w:r>
    </w:p>
    <w:p>
      <w:pPr>
        <w:pStyle w:val="ListBullet"/>
      </w:pPr>
      <w:r>
        <w:rPr>
          <w:rFonts w:ascii="Times New Roman" w:hAnsi="Times New Roman"/>
          <w:color w:val="000000"/>
          <w:sz w:val="22"/>
        </w:rPr>
        <w:t>предоставить Обучающемуся доступ к платформе и учебным материалам в объеме выбранного тарифа;</w:t>
      </w:r>
    </w:p>
    <w:p>
      <w:pPr>
        <w:pStyle w:val="ListBullet"/>
      </w:pPr>
      <w:r>
        <w:rPr>
          <w:rFonts w:ascii="Times New Roman" w:hAnsi="Times New Roman"/>
          <w:color w:val="000000"/>
          <w:sz w:val="22"/>
        </w:rPr>
        <w:t>обеспечить проведение предусмотренных тарифом синхронных занятий;</w:t>
      </w:r>
    </w:p>
    <w:p>
      <w:pPr>
        <w:pStyle w:val="ListBullet"/>
      </w:pPr>
      <w:r>
        <w:rPr>
          <w:rFonts w:ascii="Times New Roman" w:hAnsi="Times New Roman"/>
          <w:color w:val="000000"/>
          <w:sz w:val="22"/>
        </w:rPr>
        <w:t>предоставлять Заказчику достоверную информацию об образовательной программе, стоимости и условиях обучения;</w:t>
      </w:r>
    </w:p>
    <w:p>
      <w:pPr>
        <w:pStyle w:val="ListBullet"/>
      </w:pPr>
      <w:r>
        <w:rPr>
          <w:rFonts w:ascii="Times New Roman" w:hAnsi="Times New Roman"/>
          <w:color w:val="000000"/>
          <w:sz w:val="22"/>
        </w:rPr>
        <w:t>обеспечивать обработку персональных данных в соответствии с законодательством Российской Федерации;</w:t>
      </w:r>
    </w:p>
    <w:p>
      <w:pPr>
        <w:pStyle w:val="ListBullet"/>
      </w:pPr>
      <w:r>
        <w:rPr>
          <w:rFonts w:ascii="Times New Roman" w:hAnsi="Times New Roman"/>
          <w:color w:val="000000"/>
          <w:sz w:val="22"/>
        </w:rPr>
        <w:t>обеспечивать возможность получения информации о ходе освоения программы в установленном Исполнителем порядке.</w:t>
      </w:r>
    </w:p>
    <w:p>
      <w:r>
        <w:t>5.2. Исполнитель вправе:</w:t>
      </w:r>
    </w:p>
    <w:p>
      <w:pPr>
        <w:pStyle w:val="ListBullet"/>
      </w:pPr>
      <w:r>
        <w:rPr>
          <w:rFonts w:ascii="Times New Roman" w:hAnsi="Times New Roman"/>
          <w:color w:val="000000"/>
          <w:sz w:val="22"/>
        </w:rPr>
        <w:t>самостоятельно определять педагогические методы и средства обучения в пределах утвержденной программы;</w:t>
      </w:r>
    </w:p>
    <w:p>
      <w:pPr>
        <w:pStyle w:val="ListBullet"/>
      </w:pPr>
      <w:r>
        <w:rPr>
          <w:rFonts w:ascii="Times New Roman" w:hAnsi="Times New Roman"/>
          <w:color w:val="000000"/>
          <w:sz w:val="22"/>
        </w:rPr>
        <w:t>заменять педагога при сохранении объема и качества образовательных услуг;</w:t>
      </w:r>
    </w:p>
    <w:p>
      <w:pPr>
        <w:pStyle w:val="ListBullet"/>
      </w:pPr>
      <w:r>
        <w:rPr>
          <w:rFonts w:ascii="Times New Roman" w:hAnsi="Times New Roman"/>
          <w:color w:val="000000"/>
          <w:sz w:val="22"/>
        </w:rPr>
        <w:t>изменять расписание при наличии организационной необходимости с предварительным уведомлением Заказчика;</w:t>
      </w:r>
    </w:p>
    <w:p>
      <w:pPr>
        <w:pStyle w:val="ListBullet"/>
      </w:pPr>
      <w:r>
        <w:rPr>
          <w:rFonts w:ascii="Times New Roman" w:hAnsi="Times New Roman"/>
          <w:color w:val="000000"/>
          <w:sz w:val="22"/>
        </w:rPr>
        <w:t>временно ограничивать доступ к платформе при выявлении угрозы безопасности учетной записи или нарушения правил использования платформы до устранения соответствующей причины;</w:t>
      </w:r>
    </w:p>
    <w:p>
      <w:pPr>
        <w:pStyle w:val="ListBullet"/>
      </w:pPr>
      <w:r>
        <w:rPr>
          <w:rFonts w:ascii="Times New Roman" w:hAnsi="Times New Roman"/>
          <w:color w:val="000000"/>
          <w:sz w:val="22"/>
        </w:rPr>
        <w:t>использовать данные об образовательной активности Обучающегося для организации текущего контроля и сопровождения обучения.</w:t>
      </w:r>
    </w:p>
    <w:p>
      <w:pPr>
        <w:pStyle w:val="Heading1"/>
      </w:pPr>
      <w:r>
        <w:t>6. Права и обязанности Заказчика и Обучающегося</w:t>
      </w:r>
    </w:p>
    <w:p>
      <w:r>
        <w:t>6.1. Заказчик обязан:</w:t>
      </w:r>
    </w:p>
    <w:p>
      <w:pPr>
        <w:pStyle w:val="ListBullet"/>
      </w:pPr>
      <w:r>
        <w:rPr>
          <w:rFonts w:ascii="Times New Roman" w:hAnsi="Times New Roman"/>
          <w:color w:val="000000"/>
          <w:sz w:val="22"/>
        </w:rPr>
        <w:t>предоставить достоверные сведения, необходимые для заключения и исполнения договора;</w:t>
      </w:r>
    </w:p>
    <w:p>
      <w:pPr>
        <w:pStyle w:val="ListBullet"/>
      </w:pPr>
      <w:r>
        <w:rPr>
          <w:rFonts w:ascii="Times New Roman" w:hAnsi="Times New Roman"/>
          <w:color w:val="000000"/>
          <w:sz w:val="22"/>
        </w:rPr>
        <w:t>своевременно оплатить выбранный тариф;</w:t>
      </w:r>
    </w:p>
    <w:p>
      <w:pPr>
        <w:pStyle w:val="ListBullet"/>
      </w:pPr>
      <w:r>
        <w:rPr>
          <w:rFonts w:ascii="Times New Roman" w:hAnsi="Times New Roman"/>
          <w:color w:val="000000"/>
          <w:sz w:val="22"/>
        </w:rPr>
        <w:t>обеспечить техническую возможность участия Обучающегося в дистанционных занятиях;</w:t>
      </w:r>
    </w:p>
    <w:p>
      <w:pPr>
        <w:pStyle w:val="ListBullet"/>
      </w:pPr>
      <w:r>
        <w:rPr>
          <w:rFonts w:ascii="Times New Roman" w:hAnsi="Times New Roman"/>
          <w:color w:val="000000"/>
          <w:sz w:val="22"/>
        </w:rPr>
        <w:t>обеспечить соблюдение Обучающимся правил внутреннего распорядка и правил использования платформы;</w:t>
      </w:r>
    </w:p>
    <w:p>
      <w:pPr>
        <w:pStyle w:val="ListBullet"/>
      </w:pPr>
      <w:r>
        <w:rPr>
          <w:rFonts w:ascii="Times New Roman" w:hAnsi="Times New Roman"/>
          <w:color w:val="000000"/>
          <w:sz w:val="22"/>
        </w:rPr>
        <w:t>не передавать третьим лицам учетные данные платформы и ссылки доступа к занятиям;</w:t>
      </w:r>
    </w:p>
    <w:p>
      <w:pPr>
        <w:pStyle w:val="ListBullet"/>
      </w:pPr>
      <w:r>
        <w:rPr>
          <w:rFonts w:ascii="Times New Roman" w:hAnsi="Times New Roman"/>
          <w:color w:val="000000"/>
          <w:sz w:val="22"/>
        </w:rPr>
        <w:t>своевременно сообщать Исполнителю об изменении контактных данных.</w:t>
      </w:r>
    </w:p>
    <w:p>
      <w:r>
        <w:t>6.2. Заказчик и Обучающийся вправе:</w:t>
      </w:r>
    </w:p>
    <w:p>
      <w:pPr>
        <w:pStyle w:val="ListBullet"/>
      </w:pPr>
      <w:r>
        <w:rPr>
          <w:rFonts w:ascii="Times New Roman" w:hAnsi="Times New Roman"/>
          <w:color w:val="000000"/>
          <w:sz w:val="22"/>
        </w:rPr>
        <w:t>получать информацию об образовательной программе и порядке ее реализации;</w:t>
      </w:r>
    </w:p>
    <w:p>
      <w:pPr>
        <w:pStyle w:val="ListBullet"/>
      </w:pPr>
      <w:r>
        <w:rPr>
          <w:rFonts w:ascii="Times New Roman" w:hAnsi="Times New Roman"/>
          <w:color w:val="000000"/>
          <w:sz w:val="22"/>
        </w:rPr>
        <w:t>пользоваться электронными учебными материалами в пределах предоставленного доступа;</w:t>
      </w:r>
    </w:p>
    <w:p>
      <w:pPr>
        <w:pStyle w:val="ListBullet"/>
      </w:pPr>
      <w:r>
        <w:rPr>
          <w:rFonts w:ascii="Times New Roman" w:hAnsi="Times New Roman"/>
          <w:color w:val="000000"/>
          <w:sz w:val="22"/>
        </w:rPr>
        <w:t>получать предусмотренную программой педагогическую обратную связь;</w:t>
      </w:r>
    </w:p>
    <w:p>
      <w:pPr>
        <w:pStyle w:val="ListBullet"/>
      </w:pPr>
      <w:r>
        <w:rPr>
          <w:rFonts w:ascii="Times New Roman" w:hAnsi="Times New Roman"/>
          <w:color w:val="000000"/>
          <w:sz w:val="22"/>
        </w:rPr>
        <w:t>обращаться к Исполнителю по организационным и образовательным вопросам;</w:t>
      </w:r>
    </w:p>
    <w:p>
      <w:pPr>
        <w:pStyle w:val="ListBullet"/>
      </w:pPr>
      <w:r>
        <w:rPr>
          <w:rFonts w:ascii="Times New Roman" w:hAnsi="Times New Roman"/>
          <w:color w:val="000000"/>
          <w:sz w:val="22"/>
        </w:rPr>
        <w:t>реализовывать иные права, предусмотренные законодательством Российской Федерации.</w:t>
      </w:r>
    </w:p>
    <w:p>
      <w:pPr>
        <w:pStyle w:val="Heading1"/>
      </w:pPr>
      <w:r>
        <w:t>7. Изменение и прекращение образовательных отношений</w:t>
      </w:r>
    </w:p>
    <w:p>
      <w:r>
        <w:t>7.1. Образовательные отношения прекращаются в связи с завершением обучения, по инициативе Заказчика, по инициативе Исполнителя в случаях, предусмотренных законодательством Российской Федерации и настоящей Офертой, а также по иным законным основаниям.</w:t>
      </w:r>
    </w:p>
    <w:p>
      <w:r>
        <w:t>7.2. Исполнитель вправе расторгнуть договор в одностороннем порядке в случаях просрочки оплаты стоимости образовательных услуг, а также если надлежащее исполнение обязательств стало невозможным вследствие действий или бездействия Обучающегося, в случаях и порядке, допускаемых законодательством Российской Федерации.</w:t>
      </w:r>
    </w:p>
    <w:p>
      <w:r>
        <w:t>7.3. Прекращение образовательных отношений оформляется в порядке, установленном законодательством Российской Федерации и локальными актами Исполнителя.</w:t>
      </w:r>
    </w:p>
    <w:p>
      <w:pPr>
        <w:pStyle w:val="Heading1"/>
      </w:pPr>
      <w:r>
        <w:t>8. Отказ от договора и возврат денежных средств</w:t>
      </w:r>
    </w:p>
    <w:p>
      <w:r>
        <w:t>8.1. Заказчик вправе отказаться от исполнения договора в любое время в порядке, установленном законодательством Российской Федерации.</w:t>
      </w:r>
    </w:p>
    <w:p>
      <w:r>
        <w:t>8.2. При отказе Заказчика от договора размер денежных средств, подлежащих возврату, определяется с учетом структуры стоимости услуг, установленной разделом 4 настоящей Оферты, и объема услуг, фактически оказанных к моменту получения Исполнителем заявления об отказе.</w:t>
      </w:r>
    </w:p>
    <w:p>
      <w:r>
        <w:t>8.3. Если к моменту отказа доступ Обучающегося к образовательной платформе ФинСкул был фактически активирован и предоставлена возможность использования предусмотренного тарифом функционала, услуга по предоставлению доступа к платформе стоимостью 30% от цены тарифа считается оказанной полностью. Стоимость данной оказанной услуги в сумму возврата не включается.</w:t>
      </w:r>
    </w:p>
    <w:p>
      <w:r>
        <w:t>8.4. Правило пункта 8.3 применяется в том числе в случае, если Заказчик направил заявление об отказе в день активации доступа либо до проведения первого синхронного занятия, при условии что доступ к платформе был фактически предоставлен и соответствующая услуга была оказана.</w:t>
      </w:r>
    </w:p>
    <w:p>
      <w:r>
        <w:t>8.5. Оставшиеся 70% стоимости тарифа относятся к синхронным занятиям с педагогом. При возврате стоимость этой части определяется пропорционально количеству занятий, которое было проведено по расписанию до даты получения Исполнителем заявления об отказе.</w:t>
      </w:r>
    </w:p>
    <w:p>
      <w:r>
        <w:t>8.6. Сумма возврата по части стоимости синхронных занятий рассчитывается по формуле: 70% стоимости выбранного тарифа × количество оставшихся занятий / общее количество занятий по выбранному тарифу.</w:t>
      </w:r>
    </w:p>
    <w:p>
      <w:r>
        <w:t>8.7. Для расчета по пунктам 8.5–8.6 занятие учитывается как проведенное, если оно состоялось по расписанию учебной группы. Если Обучающийся не участвовал в таком занятии по причинам, не зависящим от Исполнителя, и по соответствующей теме ему был предоставлен доступ к материалам на платформе, занятие также учитывается в количестве проведенных занятий в соответствии с пунктами 3.5–3.7 настоящей Оферты.</w:t>
      </w:r>
    </w:p>
    <w:p>
      <w:r>
        <w:t>8.8. Если доступ к платформе был активирован, но к моменту отказа не состоялось ни одного синхронного занятия, возврату подлежит 70% стоимости выбранного тарифа. 30% стоимости тарифа, относящиеся к фактически оказанной единовременной услуге по предоставлению доступа к платформе, возврату не подлежат.</w:t>
      </w:r>
    </w:p>
    <w:p>
      <w:r>
        <w:t>8.9. Если к моменту отказа доступ к платформе фактически не был предоставлен и синхронные занятия не проводились, расчет возврата производится без удержания стоимости неоказанных услуг.</w:t>
      </w:r>
    </w:p>
    <w:p>
      <w:r>
        <w:t>8.10. Возврат денежных средств производится в срок до 30 календарных дней с даты получения Исполнителем заявления Заказчика и сведений, необходимых для осуществления возврата, если законодательством Российской Федерации для соответствующего требования не установлен более короткий обязательный срок.</w:t>
      </w:r>
    </w:p>
    <w:p>
      <w:r>
        <w:t>8.11. Возврат производится по реквизитам Заказчика либо иным способом, допустимым законодательством Российской Федерации и правилами соответствующей платежной системы.</w:t>
      </w:r>
    </w:p>
    <w:p>
      <w:r>
        <w:t>8.12. Положения настоящего раздела применяются в части, не противоречащей обязательным требованиям законодательства Российской Федерации о защите прав потребителей. Условия Оферты не ограничивают право Заказчика требовать иной расчет, если такой расчет прямо предусмотрен обязательными нормами закона.</w:t>
      </w:r>
    </w:p>
    <w:p>
      <w:pPr>
        <w:pStyle w:val="Heading1"/>
      </w:pPr>
      <w:r>
        <w:t>9. Ответственность сторон</w:t>
      </w:r>
    </w:p>
    <w:p>
      <w:r>
        <w:t>9.1. Стороны несут ответственность за неисполнение или ненадлежащее исполнение обязательств в соответствии с законодательством Российской Федерации и настоящей Офертой.</w:t>
      </w:r>
    </w:p>
    <w:p>
      <w:r>
        <w:t>9.2. Исполнитель не несет ответственности за невозможность участия Обучающегося в занятии, вызванную неисправностью оборудования, отсутствием или нестабильностью Интернет-соединения на стороне Заказчика, если Исполнитель обеспечил проведение занятия и доступ к предусмотренным материалам.</w:t>
      </w:r>
    </w:p>
    <w:p>
      <w:r>
        <w:t>9.3. Исполнитель несет ответственность за качество и объем образовательных услуг в пределах требований законодательства Российской Федерации и утвержденной образовательной программы.</w:t>
      </w:r>
    </w:p>
    <w:p>
      <w:r>
        <w:t>9.4. Заказчик несет ответственность за достоверность предоставленных сведений и сохранность учетных данных, переданных для доступа к платформе.</w:t>
      </w:r>
    </w:p>
    <w:p>
      <w:pPr>
        <w:pStyle w:val="Heading1"/>
      </w:pPr>
      <w:r>
        <w:t>10. Персональные данные</w:t>
      </w:r>
    </w:p>
    <w:p>
      <w:r>
        <w:t>10.1. Персональные данные Заказчика и Обучающегося обрабатываются Исполнителем в соответствии с законодательством Российской Федерации о персональных данных и документами Исполнителя, размещенными на сайте.</w:t>
      </w:r>
    </w:p>
    <w:p>
      <w:r>
        <w:t>10.2. Согласие на обработку персональных данных, когда оно является правовым основанием обработки, предоставляется отдельно от настоящей Оферты.</w:t>
      </w:r>
    </w:p>
    <w:p>
      <w:r>
        <w:t>10.3. Заказчик подтверждает наличие полномочий законного представителя несовершеннолетнего Обучающегося.</w:t>
      </w:r>
    </w:p>
    <w:p>
      <w:pPr>
        <w:pStyle w:val="Heading1"/>
      </w:pPr>
      <w:r>
        <w:t>11. Интеллектуальная собственность</w:t>
      </w:r>
    </w:p>
    <w:p>
      <w:r>
        <w:t>11.1. Учебные материалы, тексты, задания, презентации, изображения, элементы платформы, персонажи и иные результаты интеллектуальной деятельности предоставляются исключительно для личного использования Обучающимся в целях освоения программы.</w:t>
      </w:r>
    </w:p>
    <w:p>
      <w:r>
        <w:t>11.2. Копирование, публикация, распространение, передача третьим лицам и коммерческое использование материалов без согласия правообладателя не допускаются, кроме случаев, предусмотренных законодательством Российской Федерации.</w:t>
      </w:r>
    </w:p>
    <w:p>
      <w:pPr>
        <w:pStyle w:val="Heading1"/>
      </w:pPr>
      <w:r>
        <w:t>12. Обстоятельства непреодолимой силы</w:t>
      </w:r>
    </w:p>
    <w:p>
      <w:r>
        <w:t>12.1. Сторона освобождается от ответственности за неисполнение обязательств, если оно вызвано обстоятельствами непреодолимой силы, которые сторона не могла разумно предвидеть или предотвратить.</w:t>
      </w:r>
    </w:p>
    <w:p>
      <w:r>
        <w:t>12.2. Сторона, для которой возникли такие обстоятельства, уведомляет другую сторону в разумный срок.</w:t>
      </w:r>
    </w:p>
    <w:p>
      <w:r>
        <w:t>12.3. Стороны предпринимают разумные меры для продолжения исполнения договора после прекращения действия соответствующих обстоятельств.</w:t>
      </w:r>
    </w:p>
    <w:p>
      <w:pPr>
        <w:pStyle w:val="Heading1"/>
      </w:pPr>
      <w:r>
        <w:t>13. Порядок разрешения споров</w:t>
      </w:r>
    </w:p>
    <w:p>
      <w:r>
        <w:t>13.1. Стороны стремятся урегулировать возникающие разногласия путем переговоров и обмена обращениями.</w:t>
      </w:r>
    </w:p>
    <w:p>
      <w:r>
        <w:t>13.2. Требования потребителя рассматриваются Исполнителем в сроки, установленные законодательством Российской Федерации.</w:t>
      </w:r>
    </w:p>
    <w:p>
      <w:r>
        <w:t>13.3. При невозможности урегулирования спора он разрешается в порядке, установленном законодательством Российской Федерации.</w:t>
      </w:r>
    </w:p>
    <w:p>
      <w:pPr>
        <w:pStyle w:val="Heading1"/>
      </w:pPr>
      <w:r>
        <w:t>14. Срок действия договора и заключительные положения</w:t>
      </w:r>
    </w:p>
    <w:p>
      <w:r>
        <w:t>14.1. Договор вступает в силу с момента акцепта настоящей Оферты и действует до полного исполнения сторонами обязательств либо до прекращения договора по установленным основаниям.</w:t>
      </w:r>
    </w:p>
    <w:p>
      <w:r>
        <w:t>14.2. Исполнитель вправе изменять настоящую Оферту для будущих договоров. К ранее заключенному договору применяется редакция Оферты, действовавшая на момент ее акцепта, если стороны не согласовали иное.</w:t>
      </w:r>
    </w:p>
    <w:p>
      <w:r>
        <w:t>14.3. Во всем, что прямо не урегулировано настоящей Офертой, стороны руководствуются законодательством Российской Федерации.</w:t>
      </w:r>
    </w:p>
    <w:p>
      <w:pPr>
        <w:pStyle w:val="Heading1"/>
      </w:pPr>
      <w:r>
        <w:t>15. Реквизиты Исполнителя</w:t>
      </w:r>
    </w:p>
    <w:tbl>
      <w:tblPr>
        <w:tblStyle w:val="TableGrid"/>
        <w:tblW w:type="auto" w:w="0"/>
        <w:tblLook w:firstColumn="1" w:firstRow="1" w:lastColumn="0" w:lastRow="0" w:noHBand="0" w:noVBand="1" w:val="04A0"/>
      </w:tblPr>
      <w:tblGrid>
        <w:gridCol w:w="5043"/>
        <w:gridCol w:w="5043"/>
      </w:tblGrid>
      <w:tr>
        <w:tc>
          <w:tcPr>
            <w:tcW w:type="dxa" w:w="5043"/>
            <w:vAlign w:val="center"/>
          </w:tcPr>
          <w:p>
            <w:pPr>
              <w:spacing w:after="0"/>
            </w:pPr>
            <w:r/>
            <w:r>
              <w:rPr>
                <w:rFonts w:ascii="Times New Roman" w:hAnsi="Times New Roman"/>
                <w:b/>
                <w:color w:val="000000"/>
                <w:sz w:val="19"/>
              </w:rPr>
              <w:t>Полное наименование</w:t>
            </w:r>
          </w:p>
        </w:tc>
        <w:tc>
          <w:tcPr>
            <w:tcW w:type="dxa" w:w="5043"/>
            <w:vAlign w:val="center"/>
          </w:tcPr>
          <w:p>
            <w:pPr>
              <w:spacing w:after="0"/>
            </w:pPr>
            <w:r/>
            <w:r>
              <w:rPr>
                <w:rFonts w:ascii="Times New Roman" w:hAnsi="Times New Roman"/>
                <w:b w:val="0"/>
                <w:color w:val="000000"/>
                <w:sz w:val="19"/>
              </w:rPr>
              <w:t>Общество с ограниченной ответственностью «ФИНСКУЛ»</w:t>
            </w:r>
          </w:p>
        </w:tc>
      </w:tr>
      <w:tr>
        <w:tc>
          <w:tcPr>
            <w:tcW w:type="dxa" w:w="5043"/>
            <w:vAlign w:val="center"/>
          </w:tcPr>
          <w:p>
            <w:pPr>
              <w:spacing w:after="0"/>
            </w:pPr>
            <w:r/>
            <w:r>
              <w:rPr>
                <w:rFonts w:ascii="Times New Roman" w:hAnsi="Times New Roman"/>
                <w:b/>
                <w:color w:val="000000"/>
                <w:sz w:val="19"/>
              </w:rPr>
              <w:t>Сокращенное наименование</w:t>
            </w:r>
          </w:p>
        </w:tc>
        <w:tc>
          <w:tcPr>
            <w:tcW w:type="dxa" w:w="5043"/>
            <w:vAlign w:val="center"/>
          </w:tcPr>
          <w:p>
            <w:pPr>
              <w:spacing w:after="0"/>
            </w:pPr>
            <w:r/>
            <w:r>
              <w:rPr>
                <w:rFonts w:ascii="Times New Roman" w:hAnsi="Times New Roman"/>
                <w:b w:val="0"/>
                <w:color w:val="000000"/>
                <w:sz w:val="19"/>
              </w:rPr>
              <w:t>ООО «ФИНСКУЛ»</w:t>
            </w:r>
          </w:p>
        </w:tc>
      </w:tr>
      <w:tr>
        <w:tc>
          <w:tcPr>
            <w:tcW w:type="dxa" w:w="5043"/>
            <w:vAlign w:val="center"/>
          </w:tcPr>
          <w:p>
            <w:pPr>
              <w:spacing w:after="0"/>
            </w:pPr>
            <w:r/>
            <w:r>
              <w:rPr>
                <w:rFonts w:ascii="Times New Roman" w:hAnsi="Times New Roman"/>
                <w:b/>
                <w:color w:val="000000"/>
                <w:sz w:val="19"/>
              </w:rPr>
              <w:t>ОГРН</w:t>
            </w:r>
          </w:p>
        </w:tc>
        <w:tc>
          <w:tcPr>
            <w:tcW w:type="dxa" w:w="5043"/>
            <w:vAlign w:val="center"/>
          </w:tcPr>
          <w:p>
            <w:pPr>
              <w:spacing w:after="0"/>
            </w:pPr>
            <w:r/>
            <w:r>
              <w:rPr>
                <w:rFonts w:ascii="Times New Roman" w:hAnsi="Times New Roman"/>
                <w:b w:val="0"/>
                <w:color w:val="000000"/>
                <w:sz w:val="19"/>
              </w:rPr>
              <w:t>1267700319765</w:t>
            </w:r>
          </w:p>
        </w:tc>
      </w:tr>
      <w:tr>
        <w:tc>
          <w:tcPr>
            <w:tcW w:type="dxa" w:w="5043"/>
            <w:vAlign w:val="center"/>
          </w:tcPr>
          <w:p>
            <w:pPr>
              <w:spacing w:after="0"/>
            </w:pPr>
            <w:r/>
            <w:r>
              <w:rPr>
                <w:rFonts w:ascii="Times New Roman" w:hAnsi="Times New Roman"/>
                <w:b/>
                <w:color w:val="000000"/>
                <w:sz w:val="19"/>
              </w:rPr>
              <w:t>ИНН</w:t>
            </w:r>
          </w:p>
        </w:tc>
        <w:tc>
          <w:tcPr>
            <w:tcW w:type="dxa" w:w="5043"/>
            <w:vAlign w:val="center"/>
          </w:tcPr>
          <w:p>
            <w:pPr>
              <w:spacing w:after="0"/>
            </w:pPr>
            <w:r/>
            <w:r>
              <w:rPr>
                <w:rFonts w:ascii="Times New Roman" w:hAnsi="Times New Roman"/>
                <w:b w:val="0"/>
                <w:color w:val="000000"/>
                <w:sz w:val="19"/>
              </w:rPr>
              <w:t>9731167869</w:t>
            </w:r>
          </w:p>
        </w:tc>
      </w:tr>
      <w:tr>
        <w:tc>
          <w:tcPr>
            <w:tcW w:type="dxa" w:w="5043"/>
            <w:vAlign w:val="center"/>
          </w:tcPr>
          <w:p>
            <w:pPr>
              <w:spacing w:after="0"/>
            </w:pPr>
            <w:r/>
            <w:r>
              <w:rPr>
                <w:rFonts w:ascii="Times New Roman" w:hAnsi="Times New Roman"/>
                <w:b/>
                <w:color w:val="000000"/>
                <w:sz w:val="19"/>
              </w:rPr>
              <w:t>КПП</w:t>
            </w:r>
          </w:p>
        </w:tc>
        <w:tc>
          <w:tcPr>
            <w:tcW w:type="dxa" w:w="5043"/>
            <w:vAlign w:val="center"/>
          </w:tcPr>
          <w:p>
            <w:pPr>
              <w:spacing w:after="0"/>
            </w:pPr>
            <w:r/>
            <w:r>
              <w:rPr>
                <w:rFonts w:ascii="Times New Roman" w:hAnsi="Times New Roman"/>
                <w:b w:val="0"/>
                <w:color w:val="000000"/>
                <w:sz w:val="19"/>
              </w:rPr>
              <w:t>773101001</w:t>
            </w:r>
          </w:p>
        </w:tc>
      </w:tr>
      <w:tr>
        <w:tc>
          <w:tcPr>
            <w:tcW w:type="dxa" w:w="5043"/>
            <w:vAlign w:val="center"/>
          </w:tcPr>
          <w:p>
            <w:pPr>
              <w:spacing w:after="0"/>
            </w:pPr>
            <w:r/>
            <w:r>
              <w:rPr>
                <w:rFonts w:ascii="Times New Roman" w:hAnsi="Times New Roman"/>
                <w:b/>
                <w:color w:val="000000"/>
                <w:sz w:val="19"/>
              </w:rPr>
              <w:t>Адрес</w:t>
            </w:r>
          </w:p>
        </w:tc>
        <w:tc>
          <w:tcPr>
            <w:tcW w:type="dxa" w:w="5043"/>
            <w:vAlign w:val="center"/>
          </w:tcPr>
          <w:p>
            <w:pPr>
              <w:spacing w:after="0"/>
            </w:pPr>
            <w:r/>
            <w:r>
              <w:rPr>
                <w:rFonts w:ascii="Times New Roman" w:hAnsi="Times New Roman"/>
                <w:b w:val="0"/>
                <w:color w:val="000000"/>
                <w:sz w:val="19"/>
              </w:rPr>
              <w:t>121596, г. Москва, вн. тер. г. муниципальный округ Можайский, ул. Горбунова, д. 11, к. 1, кв. 55</w:t>
            </w:r>
          </w:p>
        </w:tc>
      </w:tr>
      <w:tr>
        <w:tc>
          <w:tcPr>
            <w:tcW w:type="dxa" w:w="5043"/>
            <w:vAlign w:val="center"/>
          </w:tcPr>
          <w:p>
            <w:pPr>
              <w:spacing w:after="0"/>
            </w:pPr>
            <w:r/>
            <w:r>
              <w:rPr>
                <w:rFonts w:ascii="Times New Roman" w:hAnsi="Times New Roman"/>
                <w:b/>
                <w:color w:val="000000"/>
                <w:sz w:val="19"/>
              </w:rPr>
              <w:t>Сайт</w:t>
            </w:r>
          </w:p>
        </w:tc>
        <w:tc>
          <w:tcPr>
            <w:tcW w:type="dxa" w:w="5043"/>
            <w:vAlign w:val="center"/>
          </w:tcPr>
          <w:p>
            <w:pPr>
              <w:spacing w:after="0"/>
            </w:pPr>
            <w:r/>
            <w:r>
              <w:rPr>
                <w:rFonts w:ascii="Times New Roman" w:hAnsi="Times New Roman"/>
                <w:b w:val="0"/>
                <w:color w:val="000000"/>
                <w:sz w:val="19"/>
              </w:rPr>
              <w:t>https://finschool.pro/</w:t>
            </w:r>
          </w:p>
        </w:tc>
      </w:tr>
      <w:tr>
        <w:tc>
          <w:tcPr>
            <w:tcW w:type="dxa" w:w="5043"/>
            <w:vAlign w:val="center"/>
          </w:tcPr>
          <w:p>
            <w:pPr>
              <w:spacing w:after="0"/>
            </w:pPr>
            <w:r/>
            <w:r>
              <w:rPr>
                <w:rFonts w:ascii="Times New Roman" w:hAnsi="Times New Roman"/>
                <w:b/>
                <w:color w:val="000000"/>
                <w:sz w:val="19"/>
              </w:rPr>
              <w:t>Генеральный директор</w:t>
            </w:r>
          </w:p>
        </w:tc>
        <w:tc>
          <w:tcPr>
            <w:tcW w:type="dxa" w:w="5043"/>
            <w:vAlign w:val="center"/>
          </w:tcPr>
          <w:p>
            <w:pPr>
              <w:spacing w:after="0"/>
            </w:pPr>
            <w:r/>
            <w:r>
              <w:rPr>
                <w:rFonts w:ascii="Times New Roman" w:hAnsi="Times New Roman"/>
                <w:b w:val="0"/>
                <w:color w:val="000000"/>
                <w:sz w:val="19"/>
              </w:rPr>
              <w:t>Михальков Владислав Сергеевич</w:t>
            </w:r>
          </w:p>
        </w:tc>
      </w:tr>
    </w:tbl>
    <w:sectPr w:rsidR="00FC693F" w:rsidRPr="0006063C" w:rsidSect="00034616">
      <w:headerReference w:type="default" r:id="rId9"/>
      <w:pgSz w:w="12240" w:h="15840"/>
      <w:pgMar w:top="1020" w:right="1020"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color w:val="000000"/>
        <w:sz w:val="16"/>
      </w:rPr>
      <w:t>ООО «ФИНСКУЛ»</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60"/>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