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color w:val="000000"/>
          <w:sz w:val="30"/>
        </w:rPr>
        <w:t>ПОЛОЖЕНИЕ О ЗАЩИТЕ И ОБРАБОТКЕ ПЕРСОНАЛЬНЫХ ДАННЫХ</w:t>
      </w:r>
    </w:p>
    <w:p>
      <w:r>
        <w:t>Редакция от 25 сентября 2026 года.</w:t>
      </w:r>
    </w:p>
    <w:p>
      <w:r>
        <w:t>Настоящее Положение определяет политику Общество с ограниченной ответственностью «ФИНСКУЛ» в отношении обработки и защиты персональных данных и размещается в открытом доступе на сайте https://finschool.pro/.</w:t>
      </w:r>
    </w:p>
    <w:p>
      <w:pPr>
        <w:pStyle w:val="Heading1"/>
      </w:pPr>
      <w:r>
        <w:t>1. Общие положения</w:t>
      </w:r>
    </w:p>
    <w:p>
      <w:r>
        <w:t>1.1. Оператором персональных данных является Общество с ограниченной ответственностью «ФИНСКУЛ», ОГРН 1267700319765, ИНН 9731167869, КПП 773101001, адрес: 121596, г. Москва, вн. тер. г. муниципальный округ Можайский, ул. Горбунова, д. 11, к. 1, кв. 55.</w:t>
      </w:r>
    </w:p>
    <w:p>
      <w:r>
        <w:t>1.2. Положение применяется к персональным данным пользователей сайта, обучающихся, их законных представителей, работников, кандидатов и иных лиц, персональные данные которых обрабатываются Оператором.</w:t>
      </w:r>
    </w:p>
    <w:p>
      <w:r>
        <w:t>1.3. Обработка персональных данных осуществляется на законной и справедливой основе и ограничивается достижением конкретных, заранее определенных и законных целей.</w:t>
      </w:r>
    </w:p>
    <w:p>
      <w:r>
        <w:t>1.4. Оператор не обрабатывает персональные данные, избыточные по отношению к заявленным целям обработки.</w:t>
      </w:r>
    </w:p>
    <w:p>
      <w:pPr>
        <w:pStyle w:val="Heading1"/>
      </w:pPr>
      <w:r>
        <w:t>2. Цели обработки</w:t>
      </w:r>
    </w:p>
    <w:p>
      <w:pPr>
        <w:pStyle w:val="ListBullet"/>
      </w:pPr>
      <w:r>
        <w:t>осуществление образовательной деятельности;</w:t>
      </w:r>
    </w:p>
    <w:p>
      <w:pPr>
        <w:pStyle w:val="ListBullet"/>
      </w:pPr>
      <w:r>
        <w:t>заключение и исполнение договоров об оказании платных образовательных услуг;</w:t>
      </w:r>
    </w:p>
    <w:p>
      <w:pPr>
        <w:pStyle w:val="ListBullet"/>
      </w:pPr>
      <w:r>
        <w:t>зачисление, сопровождение обучения и завершение освоения образовательных программ;</w:t>
      </w:r>
    </w:p>
    <w:p>
      <w:pPr>
        <w:pStyle w:val="ListBullet"/>
      </w:pPr>
      <w:r>
        <w:t>организация электронного обучения и дистанционных образовательных технологий;</w:t>
      </w:r>
    </w:p>
    <w:p>
      <w:pPr>
        <w:pStyle w:val="ListBullet"/>
      </w:pPr>
      <w:r>
        <w:t>создание и сопровождение учетных записей на платформе ФинСкул;</w:t>
      </w:r>
    </w:p>
    <w:p>
      <w:pPr>
        <w:pStyle w:val="ListBullet"/>
      </w:pPr>
      <w:r>
        <w:t>учет образовательной активности и результатов контроля;</w:t>
      </w:r>
    </w:p>
    <w:p>
      <w:pPr>
        <w:pStyle w:val="ListBullet"/>
      </w:pPr>
      <w:r>
        <w:t>осуществление расчетов, учета платежей и возвратов;</w:t>
      </w:r>
    </w:p>
    <w:p>
      <w:pPr>
        <w:pStyle w:val="ListBullet"/>
      </w:pPr>
      <w:r>
        <w:t>рассмотрение обращений пользователей;</w:t>
      </w:r>
    </w:p>
    <w:p>
      <w:pPr>
        <w:pStyle w:val="ListBullet"/>
      </w:pPr>
      <w:r>
        <w:t>исполнение обязанностей работодателя и ведение кадрового учета;</w:t>
      </w:r>
    </w:p>
    <w:p>
      <w:pPr>
        <w:pStyle w:val="ListBullet"/>
      </w:pPr>
      <w:r>
        <w:t>ведение бухгалтерского и налогового учета;</w:t>
      </w:r>
    </w:p>
    <w:p>
      <w:pPr>
        <w:pStyle w:val="ListBullet"/>
      </w:pPr>
      <w:r>
        <w:t>обеспечение безопасности информационных систем и учетных записей;</w:t>
      </w:r>
    </w:p>
    <w:p>
      <w:pPr>
        <w:pStyle w:val="ListBullet"/>
      </w:pPr>
      <w:r>
        <w:t>исполнение требований законодательства Российской Федерации.</w:t>
      </w:r>
    </w:p>
    <w:p>
      <w:pPr>
        <w:pStyle w:val="Heading1"/>
      </w:pPr>
      <w:r>
        <w:t>3. Категории субъектов и состав персональных данных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2"/>
        <w:gridCol w:w="3362"/>
        <w:gridCol w:w="3362"/>
      </w:tblGrid>
      <w:tr>
        <w:tc>
          <w:tcPr>
            <w:tcW w:type="dxa" w:w="3362"/>
            <w:vAlign w:val="center"/>
          </w:tcPr>
          <w:p>
            <w:pPr>
              <w:spacing w:after="0"/>
            </w:pPr>
            <w:r/>
            <w:r>
              <w:rPr>
                <w:rFonts w:ascii="Times New Roman" w:hAnsi="Times New Roman"/>
                <w:b/>
                <w:color w:val="000000"/>
                <w:sz w:val="18"/>
              </w:rPr>
              <w:t>Категория субъектов</w:t>
            </w:r>
          </w:p>
        </w:tc>
        <w:tc>
          <w:tcPr>
            <w:tcW w:type="dxa" w:w="3362"/>
            <w:vAlign w:val="center"/>
          </w:tcPr>
          <w:p>
            <w:pPr>
              <w:spacing w:after="0"/>
            </w:pPr>
            <w:r/>
            <w:r>
              <w:rPr>
                <w:rFonts w:ascii="Times New Roman" w:hAnsi="Times New Roman"/>
                <w:b/>
                <w:color w:val="000000"/>
                <w:sz w:val="18"/>
              </w:rPr>
              <w:t>Основные данные</w:t>
            </w:r>
          </w:p>
        </w:tc>
        <w:tc>
          <w:tcPr>
            <w:tcW w:type="dxa" w:w="3362"/>
            <w:vAlign w:val="center"/>
          </w:tcPr>
          <w:p>
            <w:pPr>
              <w:spacing w:after="0"/>
            </w:pPr>
            <w:r/>
            <w:r>
              <w:rPr>
                <w:rFonts w:ascii="Times New Roman" w:hAnsi="Times New Roman"/>
                <w:b/>
                <w:color w:val="000000"/>
                <w:sz w:val="18"/>
              </w:rPr>
              <w:t>Цели обработки</w:t>
            </w:r>
          </w:p>
        </w:tc>
      </w:tr>
      <w:tr>
        <w:tc>
          <w:tcPr>
            <w:tcW w:type="dxa" w:w="3362"/>
            <w:vAlign w:val="center"/>
          </w:tcPr>
          <w:p>
            <w:pPr>
              <w:spacing w:after="0"/>
            </w:pPr>
            <w:r/>
            <w:r>
              <w:rPr>
                <w:rFonts w:ascii="Times New Roman" w:hAnsi="Times New Roman"/>
                <w:b w:val="0"/>
                <w:color w:val="000000"/>
                <w:sz w:val="17"/>
              </w:rPr>
              <w:t>Обучающиеся</w:t>
            </w:r>
          </w:p>
        </w:tc>
        <w:tc>
          <w:tcPr>
            <w:tcW w:type="dxa" w:w="3362"/>
            <w:vAlign w:val="center"/>
          </w:tcPr>
          <w:p>
            <w:pPr>
              <w:spacing w:after="0"/>
            </w:pPr>
            <w:r/>
            <w:r>
              <w:rPr>
                <w:rFonts w:ascii="Times New Roman" w:hAnsi="Times New Roman"/>
                <w:b w:val="0"/>
                <w:color w:val="000000"/>
                <w:sz w:val="17"/>
              </w:rPr>
              <w:t>Ф.И.О., дата рождения, возраст, учетная запись, сведения о группе, расписании, участии в занятиях, прохождении уроков, заданиях, квизах и итоговой диагностике</w:t>
            </w:r>
          </w:p>
        </w:tc>
        <w:tc>
          <w:tcPr>
            <w:tcW w:type="dxa" w:w="3362"/>
            <w:vAlign w:val="center"/>
          </w:tcPr>
          <w:p>
            <w:pPr>
              <w:spacing w:after="0"/>
            </w:pPr>
            <w:r/>
            <w:r>
              <w:rPr>
                <w:rFonts w:ascii="Times New Roman" w:hAnsi="Times New Roman"/>
                <w:b w:val="0"/>
                <w:color w:val="000000"/>
                <w:sz w:val="17"/>
              </w:rPr>
              <w:t>Организация образовательного процесса</w:t>
            </w:r>
          </w:p>
        </w:tc>
      </w:tr>
      <w:tr>
        <w:tc>
          <w:tcPr>
            <w:tcW w:type="dxa" w:w="3362"/>
            <w:vAlign w:val="center"/>
          </w:tcPr>
          <w:p>
            <w:pPr>
              <w:spacing w:after="0"/>
            </w:pPr>
            <w:r/>
            <w:r>
              <w:rPr>
                <w:rFonts w:ascii="Times New Roman" w:hAnsi="Times New Roman"/>
                <w:b w:val="0"/>
                <w:color w:val="000000"/>
                <w:sz w:val="17"/>
              </w:rPr>
              <w:t>Законные представители</w:t>
            </w:r>
          </w:p>
        </w:tc>
        <w:tc>
          <w:tcPr>
            <w:tcW w:type="dxa" w:w="3362"/>
            <w:vAlign w:val="center"/>
          </w:tcPr>
          <w:p>
            <w:pPr>
              <w:spacing w:after="0"/>
            </w:pPr>
            <w:r/>
            <w:r>
              <w:rPr>
                <w:rFonts w:ascii="Times New Roman" w:hAnsi="Times New Roman"/>
                <w:b w:val="0"/>
                <w:color w:val="000000"/>
                <w:sz w:val="17"/>
              </w:rPr>
              <w:t>Ф.И.О., телефон, e-mail, сведения о договоре, тарифе, оплате, возвратах и обращениях</w:t>
            </w:r>
          </w:p>
        </w:tc>
        <w:tc>
          <w:tcPr>
            <w:tcW w:type="dxa" w:w="3362"/>
            <w:vAlign w:val="center"/>
          </w:tcPr>
          <w:p>
            <w:pPr>
              <w:spacing w:after="0"/>
            </w:pPr>
            <w:r/>
            <w:r>
              <w:rPr>
                <w:rFonts w:ascii="Times New Roman" w:hAnsi="Times New Roman"/>
                <w:b w:val="0"/>
                <w:color w:val="000000"/>
                <w:sz w:val="17"/>
              </w:rPr>
              <w:t>Заключение и исполнение договора, связь и расчеты</w:t>
            </w:r>
          </w:p>
        </w:tc>
      </w:tr>
      <w:tr>
        <w:tc>
          <w:tcPr>
            <w:tcW w:type="dxa" w:w="3362"/>
            <w:vAlign w:val="center"/>
          </w:tcPr>
          <w:p>
            <w:pPr>
              <w:spacing w:after="0"/>
            </w:pPr>
            <w:r/>
            <w:r>
              <w:rPr>
                <w:rFonts w:ascii="Times New Roman" w:hAnsi="Times New Roman"/>
                <w:b w:val="0"/>
                <w:color w:val="000000"/>
                <w:sz w:val="17"/>
              </w:rPr>
              <w:t>Работники и кандидаты</w:t>
            </w:r>
          </w:p>
        </w:tc>
        <w:tc>
          <w:tcPr>
            <w:tcW w:type="dxa" w:w="3362"/>
            <w:vAlign w:val="center"/>
          </w:tcPr>
          <w:p>
            <w:pPr>
              <w:spacing w:after="0"/>
            </w:pPr>
            <w:r/>
            <w:r>
              <w:rPr>
                <w:rFonts w:ascii="Times New Roman" w:hAnsi="Times New Roman"/>
                <w:b w:val="0"/>
                <w:color w:val="000000"/>
                <w:sz w:val="17"/>
              </w:rPr>
              <w:t>Данные, необходимые для трудовых отношений и исполнения требований законодательства</w:t>
            </w:r>
          </w:p>
        </w:tc>
        <w:tc>
          <w:tcPr>
            <w:tcW w:type="dxa" w:w="3362"/>
            <w:vAlign w:val="center"/>
          </w:tcPr>
          <w:p>
            <w:pPr>
              <w:spacing w:after="0"/>
            </w:pPr>
            <w:r/>
            <w:r>
              <w:rPr>
                <w:rFonts w:ascii="Times New Roman" w:hAnsi="Times New Roman"/>
                <w:b w:val="0"/>
                <w:color w:val="000000"/>
                <w:sz w:val="17"/>
              </w:rPr>
              <w:t>Кадровый учет и трудовые отношения</w:t>
            </w:r>
          </w:p>
        </w:tc>
      </w:tr>
      <w:tr>
        <w:tc>
          <w:tcPr>
            <w:tcW w:type="dxa" w:w="3362"/>
            <w:vAlign w:val="center"/>
          </w:tcPr>
          <w:p>
            <w:pPr>
              <w:spacing w:after="0"/>
            </w:pPr>
            <w:r/>
            <w:r>
              <w:rPr>
                <w:rFonts w:ascii="Times New Roman" w:hAnsi="Times New Roman"/>
                <w:b w:val="0"/>
                <w:color w:val="000000"/>
                <w:sz w:val="17"/>
              </w:rPr>
              <w:t>Контрагенты и представители</w:t>
            </w:r>
          </w:p>
        </w:tc>
        <w:tc>
          <w:tcPr>
            <w:tcW w:type="dxa" w:w="3362"/>
            <w:vAlign w:val="center"/>
          </w:tcPr>
          <w:p>
            <w:pPr>
              <w:spacing w:after="0"/>
            </w:pPr>
            <w:r/>
            <w:r>
              <w:rPr>
                <w:rFonts w:ascii="Times New Roman" w:hAnsi="Times New Roman"/>
                <w:b w:val="0"/>
                <w:color w:val="000000"/>
                <w:sz w:val="17"/>
              </w:rPr>
              <w:t>Ф.И.О., должность, контактные и договорные сведения</w:t>
            </w:r>
          </w:p>
        </w:tc>
        <w:tc>
          <w:tcPr>
            <w:tcW w:type="dxa" w:w="3362"/>
            <w:vAlign w:val="center"/>
          </w:tcPr>
          <w:p>
            <w:pPr>
              <w:spacing w:after="0"/>
            </w:pPr>
            <w:r/>
            <w:r>
              <w:rPr>
                <w:rFonts w:ascii="Times New Roman" w:hAnsi="Times New Roman"/>
                <w:b w:val="0"/>
                <w:color w:val="000000"/>
                <w:sz w:val="17"/>
              </w:rPr>
              <w:t>Заключение и исполнение договоров</w:t>
            </w:r>
          </w:p>
        </w:tc>
      </w:tr>
    </w:tbl>
    <w:p>
      <w:pPr>
        <w:pStyle w:val="Heading1"/>
      </w:pPr>
      <w:r>
        <w:t>4. Правовые основания обработки</w:t>
      </w:r>
    </w:p>
    <w:p>
      <w:pPr>
        <w:pStyle w:val="ListBullet"/>
      </w:pPr>
      <w:r>
        <w:t>Федеральный закон от 27.07.2006 № 152-ФЗ «О персональных данных»;</w:t>
      </w:r>
    </w:p>
    <w:p>
      <w:pPr>
        <w:pStyle w:val="ListBullet"/>
      </w:pPr>
      <w:r>
        <w:t>Федеральный закон от 29.12.2012 № 273-ФЗ «Об образовании в Российской Федерации»;</w:t>
      </w:r>
    </w:p>
    <w:p>
      <w:pPr>
        <w:pStyle w:val="ListBullet"/>
      </w:pPr>
      <w:r>
        <w:t>Трудовой кодекс Российской Федерации;</w:t>
      </w:r>
    </w:p>
    <w:p>
      <w:pPr>
        <w:pStyle w:val="ListBullet"/>
      </w:pPr>
      <w:r>
        <w:t>Налоговый кодекс Российской Федерации и законодательство о бухгалтерском учете;</w:t>
      </w:r>
    </w:p>
    <w:p>
      <w:pPr>
        <w:pStyle w:val="ListBullet"/>
      </w:pPr>
      <w:r>
        <w:t>договоры, стороной или выгодоприобретателем по которым является субъект персональных данных;</w:t>
      </w:r>
    </w:p>
    <w:p>
      <w:pPr>
        <w:pStyle w:val="ListBullet"/>
      </w:pPr>
      <w:r>
        <w:t>согласия субъектов персональных данных и их законных представителей в случаях, когда согласие является правовым основанием обработки;</w:t>
      </w:r>
    </w:p>
    <w:p>
      <w:pPr>
        <w:pStyle w:val="ListBullet"/>
      </w:pPr>
      <w:r>
        <w:t>иные нормативные правовые акты Российской Федерации.</w:t>
      </w:r>
    </w:p>
    <w:p>
      <w:pPr>
        <w:pStyle w:val="Heading1"/>
      </w:pPr>
      <w:r>
        <w:t>5. Способы и операции обработки</w:t>
      </w:r>
    </w:p>
    <w:p>
      <w:r>
        <w:t>Обработка осуществляется с использованием средств автоматизации и без использования таких средств и включает сбор, запись, систематизацию, накопление, хранение, уточнение, извлечение, использование, предоставление, передачу при наличии законного основания, обезличивание, блокирование, удаление и уничтожение персональных данных.</w:t>
      </w:r>
    </w:p>
    <w:p>
      <w:pPr>
        <w:pStyle w:val="Heading1"/>
      </w:pPr>
      <w:r>
        <w:t>6. Получение персональных данных через сайт</w:t>
      </w:r>
    </w:p>
    <w:p>
      <w:r>
        <w:t>6.1. При заполнении форм на сайте пользователь предоставляет только данные, необходимые для соответствующей цели обработки.</w:t>
      </w:r>
    </w:p>
    <w:p>
      <w:r>
        <w:t>6.2. Если обработка требует согласия, согласие запрашивается отдельно от иных документов и подтверждений пользователя.</w:t>
      </w:r>
    </w:p>
    <w:p>
      <w:r>
        <w:t>6.3. Факт предоставления согласия может фиксироваться информационной системой Оператора с сохранением даты, времени, версии текста согласия, идентификатора заявки или пользователя и иных технических данных, позволяющих подтвердить получение согласия.</w:t>
      </w:r>
    </w:p>
    <w:p>
      <w:r>
        <w:t>6.4. Отказ от предоставления данных, без которых невозможно заключение или исполнение договора, может повлечь невозможность оказания соответствующей услуги.</w:t>
      </w:r>
    </w:p>
    <w:p>
      <w:pPr>
        <w:pStyle w:val="Heading1"/>
      </w:pPr>
      <w:r>
        <w:t>7. Передача третьим лицам и поручение обработки</w:t>
      </w:r>
    </w:p>
    <w:p>
      <w:r>
        <w:t>7.1. Персональные данные передаются третьим лицам только при наличии предусмотренного законом основания.</w:t>
      </w:r>
    </w:p>
    <w:p>
      <w:r>
        <w:t>7.2. Оператор вправе поручать обработку персональных данных лицам, обеспечивающим работу образовательной платформы, видеосвязи, платежных сервисов, информационных систем, технической поддержки и организационных рассылок.</w:t>
      </w:r>
    </w:p>
    <w:p>
      <w:r>
        <w:t>7.3. Лица, осуществляющие обработку по поручению Оператора, обязаны соблюдать конфиденциальность и требования к безопасности персональных данных.</w:t>
      </w:r>
    </w:p>
    <w:p>
      <w:pPr>
        <w:pStyle w:val="Heading1"/>
      </w:pPr>
      <w:r>
        <w:t>8. Обработка персональных данных несовершеннолетних</w:t>
      </w:r>
    </w:p>
    <w:p>
      <w:r>
        <w:t>8.1. Персональные данные несовершеннолетнего, необходимые для организации обучения, предоставляются его законным представителем.</w:t>
      </w:r>
    </w:p>
    <w:p>
      <w:r>
        <w:t>8.2. Оператор не требует предоставления сведений о реальных доходах семьи, банковских реквизитах ребенка или иных данных, не необходимых для реализации образовательной программы.</w:t>
      </w:r>
    </w:p>
    <w:p>
      <w:r>
        <w:t>8.3. Фото-, видео- и иные материалы с изображением несовершеннолетнего не публикуются в открытом доступе без отдельного правового основания и, когда это требуется, отдельного согласия.</w:t>
      </w:r>
    </w:p>
    <w:p>
      <w:pPr>
        <w:pStyle w:val="Heading1"/>
      </w:pPr>
      <w:r>
        <w:t>9. Сроки хранения и уничтожение</w:t>
      </w:r>
    </w:p>
    <w:p>
      <w:r>
        <w:t>9.1. Персональные данные хранятся не дольше, чем это необходимо для целей обработки, исполнения договора и обязательных сроков хранения, установленных законодательством.</w:t>
      </w:r>
    </w:p>
    <w:p>
      <w:r>
        <w:t>9.2. По достижении целей обработки или прекращении правового основания данные удаляются, уничтожаются или обезличиваются, если иное не предусмотрено законом.</w:t>
      </w:r>
    </w:p>
    <w:p>
      <w:r>
        <w:t>9.3. Уничтожение персональных данных осуществляется способом, исключающим их дальнейшее использование, с оформлением необходимых подтверждающих документов в предусмотренных законом случаях.</w:t>
      </w:r>
    </w:p>
    <w:p>
      <w:pPr>
        <w:pStyle w:val="Heading1"/>
      </w:pPr>
      <w:r>
        <w:t>10. Меры по защите персональных данных</w:t>
      </w:r>
    </w:p>
    <w:p>
      <w:r>
        <w:t>10.1. Оператор применяет правовые, организационные и технические меры, необходимые для защиты персональных данных от неправомерного или случайного доступа, уничтожения, изменения, блокирования, копирования, предоставления и распространения.</w:t>
      </w:r>
    </w:p>
    <w:p>
      <w:r>
        <w:t>10.2. Доступ работников к персональным данным предоставляется в объеме, необходимом для исполнения их обязанностей.</w:t>
      </w:r>
    </w:p>
    <w:p>
      <w:r>
        <w:t>10.3. Используются меры идентификации и аутентификации пользователей, разграничения доступа, контроля действий пользователей и иные меры в соответствии с характером информационных систем Оператора.</w:t>
      </w:r>
    </w:p>
    <w:p>
      <w:r>
        <w:t>10.4. Работники, допущенные к обработке персональных данных, знакомятся с требованиями законодательства и локальными документами Оператора.</w:t>
      </w:r>
    </w:p>
    <w:p>
      <w:pPr>
        <w:pStyle w:val="Heading1"/>
      </w:pPr>
      <w:r>
        <w:t>11. Права субъектов персональных данных</w:t>
      </w:r>
    </w:p>
    <w:p>
      <w:pPr>
        <w:pStyle w:val="ListBullet"/>
      </w:pPr>
      <w:r>
        <w:t>получать информацию об обработке своих персональных данных;</w:t>
      </w:r>
    </w:p>
    <w:p>
      <w:pPr>
        <w:pStyle w:val="ListBullet"/>
      </w:pPr>
      <w:r>
        <w:t>требовать уточнения, блокирования или уничтожения данных при наличии предусмотренных законом оснований;</w:t>
      </w:r>
    </w:p>
    <w:p>
      <w:pPr>
        <w:pStyle w:val="ListBullet"/>
      </w:pPr>
      <w:r>
        <w:t>отзывать согласие на обработку персональных данных;</w:t>
      </w:r>
    </w:p>
    <w:p>
      <w:pPr>
        <w:pStyle w:val="ListBullet"/>
      </w:pPr>
      <w:r>
        <w:t>возражать против обработки в случаях, предусмотренных законом;</w:t>
      </w:r>
    </w:p>
    <w:p>
      <w:pPr>
        <w:pStyle w:val="ListBullet"/>
      </w:pPr>
      <w:r>
        <w:t>обжаловать действия или бездействие Оператора в Роскомнадзор или в судебном порядке.</w:t>
      </w:r>
    </w:p>
    <w:p>
      <w:pPr>
        <w:pStyle w:val="Heading1"/>
      </w:pPr>
      <w:r>
        <w:t>12. Обращения субъектов персональных данных</w:t>
      </w:r>
    </w:p>
    <w:p>
      <w:r>
        <w:t>Обращения по вопросам обработки персональных данных, их уточнения, блокирования, удаления или отзыва согласия направляются Оператору через каналы связи, опубликованные на сайте, либо по почтовому адресу Оператора: 121596, г. Москва, вн. тер. г. муниципальный округ Можайский, ул. Горбунова, д. 11, к. 1, кв. 55.</w:t>
      </w:r>
    </w:p>
    <w:p>
      <w:pPr>
        <w:pStyle w:val="Heading1"/>
      </w:pPr>
      <w:r>
        <w:t>13. Публикация и изменение Положения</w:t>
      </w:r>
    </w:p>
    <w:p>
      <w:r>
        <w:t>13.1. Настоящее Положение размещается в открытом доступе на сайте Оператора на страницах, с использованием которых осуществляется сбор персональных данных.</w:t>
      </w:r>
    </w:p>
    <w:p>
      <w:r>
        <w:t>13.2. Оператор вправе изменять Положение при изменении законодательства, состава информационных систем, целей и способов обработки персональных данных.</w:t>
      </w:r>
    </w:p>
    <w:p>
      <w:r>
        <w:t>13.3. На сайте применяется редакция Положения, опубликованная Оператором и действующая на соответствующую дату.</w:t>
      </w:r>
    </w:p>
    <w:sectPr w:rsidR="00FC693F" w:rsidRPr="0006063C" w:rsidSect="00034616">
      <w:headerReference w:type="default" r:id="rId9"/>
      <w:pgSz w:w="12240" w:h="15840"/>
      <w:pgMar w:top="1020" w:right="1020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Times New Roman" w:hAnsi="Times New Roman"/>
        <w:color w:val="000000"/>
        <w:sz w:val="16"/>
      </w:rPr>
      <w:t>ООО «ФИНСКУЛ»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